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DE630" w14:textId="77777777" w:rsidR="00CD4256" w:rsidRDefault="00CD4256">
      <w:pPr>
        <w:rPr>
          <w:b/>
          <w:sz w:val="36"/>
          <w:szCs w:val="36"/>
        </w:rPr>
      </w:pPr>
    </w:p>
    <w:p w14:paraId="1C78E458" w14:textId="58DC2F65" w:rsidR="00203800" w:rsidRPr="00927F3C" w:rsidRDefault="00FA48F7" w:rsidP="00E8166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Gifted</w:t>
      </w:r>
      <w:r w:rsidR="00726F7F">
        <w:rPr>
          <w:b/>
          <w:sz w:val="36"/>
          <w:szCs w:val="36"/>
        </w:rPr>
        <w:t xml:space="preserve"> and Talented</w:t>
      </w:r>
      <w:r>
        <w:rPr>
          <w:b/>
          <w:sz w:val="36"/>
          <w:szCs w:val="36"/>
        </w:rPr>
        <w:t xml:space="preserve"> Education</w:t>
      </w:r>
      <w:r w:rsidR="00927F3C">
        <w:rPr>
          <w:b/>
          <w:sz w:val="36"/>
          <w:szCs w:val="36"/>
        </w:rPr>
        <w:br/>
      </w:r>
      <w:r w:rsidR="00203800" w:rsidRPr="00710EC9">
        <w:t>Please read in conjunction with</w:t>
      </w:r>
      <w:r w:rsidR="00203800" w:rsidRPr="00710EC9">
        <w:rPr>
          <w:b/>
        </w:rPr>
        <w:t xml:space="preserve"> </w:t>
      </w:r>
      <w:r w:rsidR="00203800" w:rsidRPr="00710EC9">
        <w:rPr>
          <w:rFonts w:cs="Arial"/>
          <w:lang w:val="en"/>
        </w:rPr>
        <w:t>Student Diversity Advice, Australian Curriculum</w:t>
      </w:r>
      <w:r w:rsidR="00CD4256">
        <w:rPr>
          <w:rFonts w:cs="Arial"/>
          <w:lang w:val="en"/>
        </w:rPr>
        <w:t>, v8.3</w:t>
      </w:r>
    </w:p>
    <w:p w14:paraId="20FF528C" w14:textId="77777777" w:rsidR="00E8166A" w:rsidRDefault="00E8166A">
      <w:pPr>
        <w:rPr>
          <w:b/>
        </w:rPr>
      </w:pPr>
    </w:p>
    <w:p w14:paraId="254C5390" w14:textId="16FDC871" w:rsidR="00466947" w:rsidRPr="00710EC9" w:rsidRDefault="00466947">
      <w:r w:rsidRPr="00710EC9">
        <w:rPr>
          <w:b/>
        </w:rPr>
        <w:t>Big Ideas</w:t>
      </w:r>
      <w:r w:rsidRPr="00710EC9">
        <w:t xml:space="preserve">: </w:t>
      </w:r>
      <w:r w:rsidR="00FA48F7" w:rsidRPr="00710EC9">
        <w:t>Excellence</w:t>
      </w:r>
      <w:r w:rsidR="00FA48F7" w:rsidRPr="00710EC9">
        <w:rPr>
          <w:b/>
        </w:rPr>
        <w:t xml:space="preserve">, </w:t>
      </w:r>
      <w:r w:rsidRPr="00710EC9">
        <w:t>Equity &amp; Entitlement</w:t>
      </w:r>
      <w:r w:rsidR="00A44B71" w:rsidRPr="00710EC9">
        <w:t xml:space="preserve"> (Melbourne Declaration 1999)</w:t>
      </w:r>
    </w:p>
    <w:p w14:paraId="3A54AB99" w14:textId="5D47EA77" w:rsidR="00203800" w:rsidRPr="00710EC9" w:rsidRDefault="00203800">
      <w:r w:rsidRPr="00710EC9">
        <w:rPr>
          <w:b/>
        </w:rPr>
        <w:t>Australian Curriculum:</w:t>
      </w:r>
      <w:r w:rsidRPr="00710EC9">
        <w:t xml:space="preserve"> Rigour, Relevance and Engagement</w:t>
      </w:r>
    </w:p>
    <w:p w14:paraId="2505F862" w14:textId="705C2B16" w:rsidR="00FA48F7" w:rsidRPr="00710EC9" w:rsidRDefault="003959E4">
      <w:pPr>
        <w:rPr>
          <w:b/>
        </w:rPr>
      </w:pPr>
      <w:r w:rsidRPr="00710EC9">
        <w:rPr>
          <w:b/>
        </w:rPr>
        <w:t xml:space="preserve">AISSA </w:t>
      </w:r>
      <w:r w:rsidR="00FA48F7" w:rsidRPr="00710EC9">
        <w:rPr>
          <w:b/>
        </w:rPr>
        <w:t xml:space="preserve">Values: </w:t>
      </w:r>
      <w:r w:rsidR="00FA48F7" w:rsidRPr="00710EC9">
        <w:t>Excellence, Integrity</w:t>
      </w:r>
      <w:r w:rsidR="00130978" w:rsidRPr="00710EC9">
        <w:t>,</w:t>
      </w:r>
      <w:r w:rsidR="00FA48F7" w:rsidRPr="00710EC9">
        <w:t xml:space="preserve"> Expertise</w:t>
      </w:r>
    </w:p>
    <w:p w14:paraId="47D16FD4" w14:textId="4D432C44" w:rsidR="00FA48F7" w:rsidRPr="00710EC9" w:rsidRDefault="00FA48F7">
      <w:r w:rsidRPr="00710EC9">
        <w:rPr>
          <w:b/>
        </w:rPr>
        <w:t>Tag Line:</w:t>
      </w:r>
      <w:r w:rsidRPr="00710EC9">
        <w:t xml:space="preserve"> “Not more important, but as important”</w:t>
      </w:r>
    </w:p>
    <w:p w14:paraId="2C196018" w14:textId="249D0266" w:rsidR="00203800" w:rsidRPr="00710EC9" w:rsidRDefault="00203800">
      <w:r w:rsidRPr="00710EC9">
        <w:rPr>
          <w:b/>
        </w:rPr>
        <w:t>Transfer Goal:</w:t>
      </w:r>
      <w:r w:rsidRPr="00710EC9">
        <w:t xml:space="preserve"> </w:t>
      </w:r>
      <w:r w:rsidR="00A44B71" w:rsidRPr="00710EC9">
        <w:t>Teachers will be able to independently use their learning to cater for the learning needs of gifted and talented students</w:t>
      </w:r>
    </w:p>
    <w:p w14:paraId="10F795F1" w14:textId="7B957162" w:rsidR="009E7108" w:rsidRPr="00710EC9" w:rsidRDefault="00B62054">
      <w:pPr>
        <w:rPr>
          <w:b/>
        </w:rPr>
      </w:pPr>
      <w:r w:rsidRPr="00710EC9">
        <w:rPr>
          <w:b/>
        </w:rPr>
        <w:t xml:space="preserve">Deep </w:t>
      </w:r>
      <w:r w:rsidR="009E7108" w:rsidRPr="00710EC9">
        <w:rPr>
          <w:b/>
        </w:rPr>
        <w:t>Understandings</w:t>
      </w:r>
      <w:r w:rsidR="00130978" w:rsidRPr="00710EC9">
        <w:rPr>
          <w:b/>
        </w:rPr>
        <w:t>:</w:t>
      </w:r>
    </w:p>
    <w:p w14:paraId="053FFD6B" w14:textId="01B606AA" w:rsidR="009E7108" w:rsidRPr="00710EC9" w:rsidRDefault="00203800">
      <w:r w:rsidRPr="00710EC9">
        <w:t>Teachers will understand that</w:t>
      </w:r>
      <w:r w:rsidR="00D56E44" w:rsidRPr="00710EC9">
        <w:t xml:space="preserve"> </w:t>
      </w:r>
    </w:p>
    <w:p w14:paraId="64C06946" w14:textId="6E0AEC46" w:rsidR="00175E4D" w:rsidRPr="00710EC9" w:rsidRDefault="00726F7F" w:rsidP="00B62054">
      <w:pPr>
        <w:pStyle w:val="ListParagraph"/>
        <w:numPr>
          <w:ilvl w:val="0"/>
          <w:numId w:val="2"/>
        </w:numPr>
      </w:pPr>
      <w:r w:rsidRPr="00710EC9">
        <w:rPr>
          <w:rFonts w:cs="Arial"/>
          <w:lang w:val="en"/>
        </w:rPr>
        <w:t>g</w:t>
      </w:r>
      <w:r w:rsidR="00175E4D" w:rsidRPr="00710EC9">
        <w:rPr>
          <w:rFonts w:cs="Arial"/>
          <w:lang w:val="en"/>
        </w:rPr>
        <w:t xml:space="preserve">ifted and talented students </w:t>
      </w:r>
      <w:r w:rsidR="009414E3">
        <w:rPr>
          <w:rFonts w:cs="Arial"/>
          <w:lang w:val="en"/>
        </w:rPr>
        <w:t>benefit from</w:t>
      </w:r>
      <w:r w:rsidR="00175E4D" w:rsidRPr="00710EC9">
        <w:rPr>
          <w:rFonts w:cs="Arial"/>
          <w:lang w:val="en"/>
        </w:rPr>
        <w:t xml:space="preserve"> rigorous, relevant and engaging learning opportunities drawn from the Australian Curriculum and aligned with their individual learning needs, strengths, interests and goals</w:t>
      </w:r>
      <w:r w:rsidR="00796B43" w:rsidRPr="00710EC9">
        <w:rPr>
          <w:rFonts w:cs="Arial"/>
          <w:lang w:val="en"/>
        </w:rPr>
        <w:t xml:space="preserve"> </w:t>
      </w:r>
      <w:r w:rsidR="0066630A" w:rsidRPr="00710EC9">
        <w:rPr>
          <w:rFonts w:cs="Arial"/>
          <w:lang w:val="en"/>
        </w:rPr>
        <w:t>(Student Diversity advice, Australian Curriculum)</w:t>
      </w:r>
    </w:p>
    <w:p w14:paraId="654A53F7" w14:textId="13255D2D" w:rsidR="00726F7F" w:rsidRPr="00710EC9" w:rsidRDefault="00726F7F" w:rsidP="00203800">
      <w:pPr>
        <w:pStyle w:val="ListParagraph"/>
        <w:numPr>
          <w:ilvl w:val="0"/>
          <w:numId w:val="2"/>
        </w:numPr>
      </w:pPr>
      <w:r w:rsidRPr="00710EC9">
        <w:rPr>
          <w:rFonts w:cs="Arial"/>
          <w:lang w:val="en"/>
        </w:rPr>
        <w:t xml:space="preserve">raising outcomes for gifted and talented students </w:t>
      </w:r>
      <w:r w:rsidR="00A54C3D" w:rsidRPr="00710EC9">
        <w:rPr>
          <w:rFonts w:cs="Arial"/>
          <w:lang w:val="en"/>
        </w:rPr>
        <w:t xml:space="preserve">is </w:t>
      </w:r>
      <w:r w:rsidRPr="00710EC9">
        <w:rPr>
          <w:rFonts w:cs="Arial"/>
          <w:lang w:val="en"/>
        </w:rPr>
        <w:t>a very effective way of raising outcomes for all students</w:t>
      </w:r>
    </w:p>
    <w:p w14:paraId="6231D6DC" w14:textId="65DD221B" w:rsidR="0066630A" w:rsidRPr="00710EC9" w:rsidRDefault="0066630A" w:rsidP="00203800">
      <w:pPr>
        <w:pStyle w:val="ListParagraph"/>
        <w:numPr>
          <w:ilvl w:val="0"/>
          <w:numId w:val="2"/>
        </w:numPr>
      </w:pPr>
      <w:r w:rsidRPr="00710EC9">
        <w:rPr>
          <w:rFonts w:cs="Arial"/>
          <w:lang w:val="en"/>
        </w:rPr>
        <w:t>there are gifted and talented students in every school</w:t>
      </w:r>
    </w:p>
    <w:p w14:paraId="3EEAF2EC" w14:textId="1757DFBB" w:rsidR="00726F7F" w:rsidRPr="00710EC9" w:rsidRDefault="00726F7F" w:rsidP="00203800">
      <w:pPr>
        <w:pStyle w:val="ListParagraph"/>
        <w:numPr>
          <w:ilvl w:val="0"/>
          <w:numId w:val="2"/>
        </w:numPr>
      </w:pPr>
      <w:r w:rsidRPr="00710EC9">
        <w:rPr>
          <w:rFonts w:cs="Arial"/>
          <w:lang w:val="en"/>
        </w:rPr>
        <w:t xml:space="preserve">there </w:t>
      </w:r>
      <w:r w:rsidR="00175E4D" w:rsidRPr="00710EC9">
        <w:rPr>
          <w:rFonts w:cs="Arial"/>
          <w:lang w:val="en"/>
        </w:rPr>
        <w:t xml:space="preserve">are a variety of </w:t>
      </w:r>
      <w:r w:rsidR="0066630A" w:rsidRPr="00710EC9">
        <w:rPr>
          <w:rFonts w:cs="Arial"/>
          <w:lang w:val="en"/>
        </w:rPr>
        <w:t xml:space="preserve">curriculum </w:t>
      </w:r>
      <w:r w:rsidR="00175E4D" w:rsidRPr="00710EC9">
        <w:rPr>
          <w:rFonts w:cs="Arial"/>
          <w:lang w:val="en"/>
        </w:rPr>
        <w:t>models that can be used to cater for the learning needs of gifted</w:t>
      </w:r>
      <w:r w:rsidRPr="00710EC9">
        <w:rPr>
          <w:rFonts w:cs="Arial"/>
          <w:lang w:val="en"/>
        </w:rPr>
        <w:t xml:space="preserve"> and talented students</w:t>
      </w:r>
      <w:r w:rsidR="00A54C3D" w:rsidRPr="00710EC9">
        <w:rPr>
          <w:rFonts w:cs="Arial"/>
          <w:lang w:val="en"/>
        </w:rPr>
        <w:t xml:space="preserve"> </w:t>
      </w:r>
    </w:p>
    <w:p w14:paraId="71AF92F4" w14:textId="77A5875C" w:rsidR="0066630A" w:rsidRPr="00710EC9" w:rsidRDefault="0066630A" w:rsidP="00203800">
      <w:pPr>
        <w:pStyle w:val="ListParagraph"/>
        <w:numPr>
          <w:ilvl w:val="0"/>
          <w:numId w:val="2"/>
        </w:numPr>
      </w:pPr>
      <w:r w:rsidRPr="00710EC9">
        <w:rPr>
          <w:rFonts w:cs="Arial"/>
          <w:lang w:val="en"/>
        </w:rPr>
        <w:t>effective differentiating in a mainstream classroom increases student engagement without increasing teacher workloads</w:t>
      </w:r>
    </w:p>
    <w:p w14:paraId="02E9B490" w14:textId="1EA1C13D" w:rsidR="00D56E44" w:rsidRPr="00710EC9" w:rsidRDefault="00726F7F" w:rsidP="00203800">
      <w:pPr>
        <w:pStyle w:val="ListParagraph"/>
        <w:numPr>
          <w:ilvl w:val="0"/>
          <w:numId w:val="2"/>
        </w:numPr>
      </w:pPr>
      <w:r w:rsidRPr="00710EC9">
        <w:t>interventions</w:t>
      </w:r>
      <w:r w:rsidR="00175E4D" w:rsidRPr="00710EC9">
        <w:t xml:space="preserve"> for gifted</w:t>
      </w:r>
      <w:r w:rsidRPr="00710EC9">
        <w:t xml:space="preserve"> and talented</w:t>
      </w:r>
      <w:r w:rsidR="00175E4D" w:rsidRPr="00710EC9">
        <w:t xml:space="preserve"> students should</w:t>
      </w:r>
      <w:r w:rsidR="00D56E44" w:rsidRPr="00710EC9">
        <w:t xml:space="preserve"> meet </w:t>
      </w:r>
      <w:r w:rsidR="00175E4D" w:rsidRPr="00710EC9">
        <w:t xml:space="preserve">their </w:t>
      </w:r>
      <w:r w:rsidR="00D56E44" w:rsidRPr="00710EC9">
        <w:t xml:space="preserve">specific </w:t>
      </w:r>
      <w:r w:rsidR="00175E4D" w:rsidRPr="00710EC9">
        <w:t xml:space="preserve">cognitive and </w:t>
      </w:r>
      <w:r w:rsidR="00203800" w:rsidRPr="00710EC9">
        <w:t>affective</w:t>
      </w:r>
      <w:r w:rsidR="00175E4D" w:rsidRPr="00710EC9">
        <w:t xml:space="preserve"> goals</w:t>
      </w:r>
    </w:p>
    <w:p w14:paraId="18B6B02E" w14:textId="44E4BC62" w:rsidR="00726F7F" w:rsidRPr="00710EC9" w:rsidRDefault="00726F7F" w:rsidP="00726F7F">
      <w:pPr>
        <w:pStyle w:val="ListParagraph"/>
        <w:numPr>
          <w:ilvl w:val="0"/>
          <w:numId w:val="2"/>
        </w:numPr>
      </w:pPr>
      <w:r w:rsidRPr="00710EC9">
        <w:t>the stronger the gift, the stronger the intervention that is required</w:t>
      </w:r>
    </w:p>
    <w:p w14:paraId="5AC09EC0" w14:textId="22BFDD8E" w:rsidR="00D56E44" w:rsidRPr="00710EC9" w:rsidRDefault="00726F7F" w:rsidP="00B62054">
      <w:pPr>
        <w:pStyle w:val="ListParagraph"/>
        <w:numPr>
          <w:ilvl w:val="0"/>
          <w:numId w:val="2"/>
        </w:numPr>
      </w:pPr>
      <w:r w:rsidRPr="00710EC9">
        <w:t xml:space="preserve">support and extension may </w:t>
      </w:r>
      <w:r w:rsidR="00FA48F7" w:rsidRPr="00710EC9">
        <w:t>best</w:t>
      </w:r>
      <w:r w:rsidRPr="00710EC9">
        <w:t xml:space="preserve"> be</w:t>
      </w:r>
      <w:r w:rsidR="00FA48F7" w:rsidRPr="00710EC9">
        <w:t xml:space="preserve"> </w:t>
      </w:r>
      <w:r w:rsidR="00D56E44" w:rsidRPr="00710EC9">
        <w:t>delivered according to the principles of RTI</w:t>
      </w:r>
      <w:r w:rsidR="00466947" w:rsidRPr="00710EC9">
        <w:t xml:space="preserve"> (Response to Intervention)</w:t>
      </w:r>
    </w:p>
    <w:p w14:paraId="44D34AE7" w14:textId="700101D1" w:rsidR="00203800" w:rsidRPr="00710EC9" w:rsidRDefault="00C650E9" w:rsidP="00203800">
      <w:pPr>
        <w:pStyle w:val="ListParagraph"/>
        <w:numPr>
          <w:ilvl w:val="0"/>
          <w:numId w:val="2"/>
        </w:numPr>
      </w:pPr>
      <w:r w:rsidRPr="00710EC9">
        <w:t xml:space="preserve">data from a range of sources </w:t>
      </w:r>
      <w:r w:rsidR="00726F7F" w:rsidRPr="00710EC9">
        <w:t>should be</w:t>
      </w:r>
      <w:r w:rsidRPr="00710EC9">
        <w:t xml:space="preserve"> used to inform the </w:t>
      </w:r>
      <w:r w:rsidR="00203800" w:rsidRPr="00710EC9">
        <w:t>identification</w:t>
      </w:r>
      <w:r w:rsidR="002049CF" w:rsidRPr="00710EC9">
        <w:t xml:space="preserve"> and design</w:t>
      </w:r>
      <w:r w:rsidRPr="00710EC9">
        <w:t xml:space="preserve"> of </w:t>
      </w:r>
      <w:r w:rsidR="00FA48F7" w:rsidRPr="00710EC9">
        <w:t>interventions for gifted</w:t>
      </w:r>
      <w:r w:rsidR="00726F7F" w:rsidRPr="00710EC9">
        <w:t xml:space="preserve"> and talented</w:t>
      </w:r>
      <w:r w:rsidR="00203800" w:rsidRPr="00710EC9">
        <w:t xml:space="preserve"> students</w:t>
      </w:r>
    </w:p>
    <w:p w14:paraId="2C34EB7D" w14:textId="558F8785" w:rsidR="002049CF" w:rsidRPr="00710EC9" w:rsidRDefault="00203800" w:rsidP="00FA48F7">
      <w:pPr>
        <w:pStyle w:val="ListParagraph"/>
        <w:numPr>
          <w:ilvl w:val="0"/>
          <w:numId w:val="2"/>
        </w:numPr>
      </w:pPr>
      <w:r w:rsidRPr="00710EC9">
        <w:t>Individual</w:t>
      </w:r>
      <w:r w:rsidR="00D56E44" w:rsidRPr="00710EC9">
        <w:t xml:space="preserve"> Learning Plans </w:t>
      </w:r>
      <w:r w:rsidR="00FA48F7" w:rsidRPr="00710EC9">
        <w:t>may need to be developed to meet the needs of gifted</w:t>
      </w:r>
      <w:r w:rsidR="00726F7F" w:rsidRPr="00710EC9">
        <w:t xml:space="preserve"> and talented</w:t>
      </w:r>
      <w:r w:rsidR="00FA48F7" w:rsidRPr="00710EC9">
        <w:t xml:space="preserve"> students</w:t>
      </w:r>
      <w:r w:rsidR="00A54C3D" w:rsidRPr="00710EC9">
        <w:t xml:space="preserve"> </w:t>
      </w:r>
    </w:p>
    <w:p w14:paraId="14421BAA" w14:textId="5EB04518" w:rsidR="00772F58" w:rsidRPr="00710EC9" w:rsidRDefault="00726F7F" w:rsidP="00772F58">
      <w:pPr>
        <w:pStyle w:val="ListParagraph"/>
        <w:numPr>
          <w:ilvl w:val="0"/>
          <w:numId w:val="2"/>
        </w:numPr>
      </w:pPr>
      <w:r w:rsidRPr="00710EC9">
        <w:t>e</w:t>
      </w:r>
      <w:r w:rsidR="002049CF" w:rsidRPr="00710EC9">
        <w:t>arly</w:t>
      </w:r>
      <w:r w:rsidR="001F049F" w:rsidRPr="00710EC9">
        <w:t xml:space="preserve"> identification and</w:t>
      </w:r>
      <w:r w:rsidR="002049CF" w:rsidRPr="00710EC9">
        <w:t xml:space="preserve"> intervention </w:t>
      </w:r>
      <w:r w:rsidR="00A54C3D" w:rsidRPr="00710EC9">
        <w:t xml:space="preserve">are </w:t>
      </w:r>
      <w:r w:rsidRPr="00710EC9">
        <w:t xml:space="preserve">crucial </w:t>
      </w:r>
      <w:r w:rsidR="00203800" w:rsidRPr="00710EC9">
        <w:t>to the realisation of potential</w:t>
      </w:r>
    </w:p>
    <w:p w14:paraId="4F5D23EE" w14:textId="568DFBCF" w:rsidR="00726F7F" w:rsidRPr="00710EC9" w:rsidRDefault="00772F58" w:rsidP="00726F7F">
      <w:pPr>
        <w:pStyle w:val="ListParagraph"/>
        <w:numPr>
          <w:ilvl w:val="0"/>
          <w:numId w:val="2"/>
        </w:numPr>
      </w:pPr>
      <w:r w:rsidRPr="00710EC9">
        <w:t xml:space="preserve">there is no </w:t>
      </w:r>
      <w:r w:rsidR="0066630A" w:rsidRPr="00710EC9">
        <w:t>such thing as a</w:t>
      </w:r>
      <w:r w:rsidRPr="00710EC9">
        <w:t xml:space="preserve"> homogenous</w:t>
      </w:r>
      <w:r w:rsidR="0066630A" w:rsidRPr="00710EC9">
        <w:t xml:space="preserve"> group of</w:t>
      </w:r>
      <w:r w:rsidRPr="00710EC9">
        <w:t xml:space="preserve"> gifted and talented students</w:t>
      </w:r>
    </w:p>
    <w:p w14:paraId="4FB62A13" w14:textId="77777777" w:rsidR="00710EC9" w:rsidRDefault="00710EC9" w:rsidP="0066630A"/>
    <w:p w14:paraId="681BD8E6" w14:textId="77777777" w:rsidR="00710EC9" w:rsidRPr="00710EC9" w:rsidRDefault="00B62054" w:rsidP="0066630A">
      <w:pPr>
        <w:rPr>
          <w:b/>
        </w:rPr>
      </w:pPr>
      <w:r w:rsidRPr="00710EC9">
        <w:rPr>
          <w:b/>
        </w:rPr>
        <w:t>Essential Questions:</w:t>
      </w:r>
      <w:r w:rsidR="00B6726F" w:rsidRPr="00710EC9">
        <w:rPr>
          <w:b/>
        </w:rPr>
        <w:t xml:space="preserve"> </w:t>
      </w:r>
    </w:p>
    <w:p w14:paraId="5E33DCFC" w14:textId="7E0E80E0" w:rsidR="00CD4256" w:rsidRPr="00710EC9" w:rsidRDefault="00710EC9" w:rsidP="0066630A">
      <w:r w:rsidRPr="00710EC9">
        <w:rPr>
          <w:b/>
        </w:rPr>
        <w:t xml:space="preserve">Over-arching question: </w:t>
      </w:r>
      <w:r w:rsidRPr="00710EC9">
        <w:t>Are students entitled to an education that enables them to reach their potential?</w:t>
      </w:r>
    </w:p>
    <w:p w14:paraId="04DEA78E" w14:textId="07AF2392" w:rsidR="00175E4D" w:rsidRPr="00710EC9" w:rsidRDefault="00175E4D" w:rsidP="00CD4256">
      <w:pPr>
        <w:pStyle w:val="ListParagraph"/>
        <w:numPr>
          <w:ilvl w:val="0"/>
          <w:numId w:val="15"/>
        </w:numPr>
      </w:pPr>
      <w:r w:rsidRPr="00710EC9">
        <w:lastRenderedPageBreak/>
        <w:t>What is the nature of giftedness?</w:t>
      </w:r>
    </w:p>
    <w:p w14:paraId="2236C543" w14:textId="77777777" w:rsidR="00A44B71" w:rsidRPr="00710EC9" w:rsidRDefault="00175E4D" w:rsidP="00710EC9">
      <w:pPr>
        <w:pStyle w:val="ListParagraph"/>
        <w:numPr>
          <w:ilvl w:val="0"/>
          <w:numId w:val="15"/>
        </w:numPr>
      </w:pPr>
      <w:r w:rsidRPr="00710EC9">
        <w:t xml:space="preserve">How do we define the terms: </w:t>
      </w:r>
      <w:r w:rsidRPr="00710EC9">
        <w:rPr>
          <w:i/>
        </w:rPr>
        <w:t>gifted</w:t>
      </w:r>
      <w:r w:rsidRPr="00710EC9">
        <w:t xml:space="preserve"> and </w:t>
      </w:r>
      <w:r w:rsidRPr="00710EC9">
        <w:rPr>
          <w:i/>
        </w:rPr>
        <w:t>talented</w:t>
      </w:r>
      <w:r w:rsidRPr="00710EC9">
        <w:t>?</w:t>
      </w:r>
    </w:p>
    <w:p w14:paraId="3671BB40" w14:textId="2A3A70FC" w:rsidR="00A44B71" w:rsidRPr="00710EC9" w:rsidRDefault="00A44B71" w:rsidP="00710EC9">
      <w:pPr>
        <w:pStyle w:val="ListParagraph"/>
        <w:numPr>
          <w:ilvl w:val="0"/>
          <w:numId w:val="15"/>
        </w:numPr>
      </w:pPr>
      <w:r w:rsidRPr="00710EC9">
        <w:t>Are gifted and talented students entitled to a curriculum commensurate with their abilities?</w:t>
      </w:r>
    </w:p>
    <w:p w14:paraId="0ACEA542" w14:textId="0ADAA05B" w:rsidR="00C650E9" w:rsidRPr="00710EC9" w:rsidRDefault="00C650E9" w:rsidP="00710EC9">
      <w:pPr>
        <w:pStyle w:val="ListParagraph"/>
        <w:numPr>
          <w:ilvl w:val="0"/>
          <w:numId w:val="15"/>
        </w:numPr>
      </w:pPr>
      <w:r w:rsidRPr="00710EC9">
        <w:t xml:space="preserve">How do we </w:t>
      </w:r>
      <w:r w:rsidR="00175E4D" w:rsidRPr="00710EC9">
        <w:t>identify gifted</w:t>
      </w:r>
      <w:r w:rsidR="00726F7F" w:rsidRPr="00710EC9">
        <w:t xml:space="preserve"> and talented</w:t>
      </w:r>
      <w:r w:rsidR="00175E4D" w:rsidRPr="00710EC9">
        <w:t xml:space="preserve"> students?</w:t>
      </w:r>
    </w:p>
    <w:p w14:paraId="7723D06F" w14:textId="2E997404" w:rsidR="00710EC9" w:rsidRPr="00710EC9" w:rsidRDefault="00710EC9" w:rsidP="00710EC9">
      <w:pPr>
        <w:pStyle w:val="ListParagraph"/>
        <w:numPr>
          <w:ilvl w:val="0"/>
          <w:numId w:val="15"/>
        </w:numPr>
      </w:pPr>
      <w:r w:rsidRPr="00710EC9">
        <w:t>How do we ensure that our identification processes allow for cultural and socio-economic diversity?</w:t>
      </w:r>
    </w:p>
    <w:p w14:paraId="6BDA8CD4" w14:textId="1BAE5AB5" w:rsidR="00726F7F" w:rsidRPr="00710EC9" w:rsidRDefault="00726F7F" w:rsidP="00710EC9">
      <w:pPr>
        <w:pStyle w:val="ListParagraph"/>
        <w:numPr>
          <w:ilvl w:val="0"/>
          <w:numId w:val="15"/>
        </w:numPr>
      </w:pPr>
      <w:r w:rsidRPr="00710EC9">
        <w:t>How effective are the methods we are presently using in helping us to assess students’ abilities and needs?</w:t>
      </w:r>
    </w:p>
    <w:p w14:paraId="630FA7D7" w14:textId="6AA6BDFE" w:rsidR="00175E4D" w:rsidRPr="00710EC9" w:rsidRDefault="00175E4D" w:rsidP="00710EC9">
      <w:pPr>
        <w:pStyle w:val="ListParagraph"/>
        <w:numPr>
          <w:ilvl w:val="0"/>
          <w:numId w:val="15"/>
        </w:numPr>
      </w:pPr>
      <w:r w:rsidRPr="00710EC9">
        <w:t>How do we cater for gifted and talented students?</w:t>
      </w:r>
    </w:p>
    <w:p w14:paraId="577D04F9" w14:textId="2E92AF65" w:rsidR="00175E4D" w:rsidRPr="00710EC9" w:rsidRDefault="00175E4D" w:rsidP="00710EC9">
      <w:pPr>
        <w:pStyle w:val="ListParagraph"/>
        <w:numPr>
          <w:ilvl w:val="0"/>
          <w:numId w:val="15"/>
        </w:numPr>
      </w:pPr>
      <w:r w:rsidRPr="00710EC9">
        <w:t>What are some of the curriculum models that can be used to cater for gifted and talented students?</w:t>
      </w:r>
    </w:p>
    <w:p w14:paraId="7234BB37" w14:textId="36E29C58" w:rsidR="00175E4D" w:rsidRPr="00710EC9" w:rsidRDefault="00175E4D" w:rsidP="00710EC9">
      <w:pPr>
        <w:pStyle w:val="ListParagraph"/>
        <w:numPr>
          <w:ilvl w:val="0"/>
          <w:numId w:val="15"/>
        </w:numPr>
      </w:pPr>
      <w:r w:rsidRPr="00710EC9">
        <w:t>How can the Australian Curriculum be used to support gifted and talented students?</w:t>
      </w:r>
    </w:p>
    <w:p w14:paraId="00468B4B" w14:textId="02125729" w:rsidR="00726F7F" w:rsidRPr="00710EC9" w:rsidRDefault="00726F7F" w:rsidP="00710EC9">
      <w:pPr>
        <w:pStyle w:val="ListParagraph"/>
        <w:numPr>
          <w:ilvl w:val="0"/>
          <w:numId w:val="15"/>
        </w:numPr>
      </w:pPr>
      <w:r w:rsidRPr="00710EC9">
        <w:t>How can we best provide for the well-being of gifted and talented students?</w:t>
      </w:r>
    </w:p>
    <w:p w14:paraId="05D9DE10" w14:textId="4D5CCB3E" w:rsidR="00175E4D" w:rsidRPr="00710EC9" w:rsidRDefault="00175E4D" w:rsidP="00710EC9">
      <w:pPr>
        <w:pStyle w:val="ListParagraph"/>
        <w:numPr>
          <w:ilvl w:val="0"/>
          <w:numId w:val="15"/>
        </w:numPr>
      </w:pPr>
      <w:r w:rsidRPr="00710EC9">
        <w:t>Is RTI an appropriate intervention for gifted and talented students</w:t>
      </w:r>
      <w:r w:rsidR="002049CF" w:rsidRPr="00710EC9">
        <w:t>?</w:t>
      </w:r>
    </w:p>
    <w:p w14:paraId="04B2EEF0" w14:textId="77777777" w:rsidR="00A44B71" w:rsidRPr="00710EC9" w:rsidRDefault="00A44B71" w:rsidP="00F55847">
      <w:pPr>
        <w:rPr>
          <w:b/>
        </w:rPr>
      </w:pPr>
    </w:p>
    <w:p w14:paraId="7764B168" w14:textId="5F8517AC" w:rsidR="001F049F" w:rsidRPr="00710EC9" w:rsidRDefault="00043BD4" w:rsidP="00F55847">
      <w:pPr>
        <w:rPr>
          <w:b/>
        </w:rPr>
      </w:pPr>
      <w:r w:rsidRPr="00710EC9">
        <w:rPr>
          <w:b/>
        </w:rPr>
        <w:t>LEARNING AND TEACHING</w:t>
      </w:r>
      <w:r w:rsidR="00A44B71" w:rsidRPr="00710EC9">
        <w:rPr>
          <w:b/>
        </w:rPr>
        <w:t xml:space="preserve"> APPROACHES</w:t>
      </w:r>
    </w:p>
    <w:p w14:paraId="220FB903" w14:textId="6F26C488" w:rsidR="00287E54" w:rsidRPr="00710EC9" w:rsidRDefault="00287E54" w:rsidP="00203800">
      <w:pPr>
        <w:pStyle w:val="ListParagraph"/>
        <w:numPr>
          <w:ilvl w:val="0"/>
          <w:numId w:val="12"/>
        </w:numPr>
      </w:pPr>
      <w:r w:rsidRPr="00710EC9">
        <w:t>Differentiation in mainstream classes</w:t>
      </w:r>
    </w:p>
    <w:p w14:paraId="38C45E97" w14:textId="606D95D4" w:rsidR="00A44B71" w:rsidRPr="00710EC9" w:rsidRDefault="00A44B71" w:rsidP="00203800">
      <w:pPr>
        <w:pStyle w:val="ListParagraph"/>
        <w:numPr>
          <w:ilvl w:val="0"/>
          <w:numId w:val="12"/>
        </w:numPr>
      </w:pPr>
      <w:r w:rsidRPr="00710EC9">
        <w:t>Instructional grouping</w:t>
      </w:r>
    </w:p>
    <w:p w14:paraId="694D9C44" w14:textId="50395D10" w:rsidR="00FD2E6E" w:rsidRPr="00710EC9" w:rsidRDefault="00DB2D9A" w:rsidP="00203800">
      <w:pPr>
        <w:pStyle w:val="ListParagraph"/>
        <w:numPr>
          <w:ilvl w:val="0"/>
          <w:numId w:val="12"/>
        </w:numPr>
      </w:pPr>
      <w:r w:rsidRPr="00710EC9">
        <w:t>Small group</w:t>
      </w:r>
      <w:r w:rsidR="00FD2E6E" w:rsidRPr="00710EC9">
        <w:t xml:space="preserve"> settings</w:t>
      </w:r>
    </w:p>
    <w:p w14:paraId="54B9C2F3" w14:textId="6719D116" w:rsidR="002049CF" w:rsidRPr="00710EC9" w:rsidRDefault="002049CF" w:rsidP="00203800">
      <w:pPr>
        <w:pStyle w:val="ListParagraph"/>
        <w:numPr>
          <w:ilvl w:val="0"/>
          <w:numId w:val="12"/>
        </w:numPr>
      </w:pPr>
      <w:r w:rsidRPr="00710EC9">
        <w:t>Withdrawal</w:t>
      </w:r>
      <w:r w:rsidR="00A44B71" w:rsidRPr="00710EC9">
        <w:t>,</w:t>
      </w:r>
      <w:r w:rsidRPr="00710EC9">
        <w:t xml:space="preserve"> where appropriate</w:t>
      </w:r>
    </w:p>
    <w:p w14:paraId="0D62EC75" w14:textId="6EA45828" w:rsidR="00D133EF" w:rsidRPr="00710EC9" w:rsidRDefault="00A44B71" w:rsidP="002049CF">
      <w:pPr>
        <w:pStyle w:val="ListParagraph"/>
        <w:numPr>
          <w:ilvl w:val="0"/>
          <w:numId w:val="12"/>
        </w:numPr>
      </w:pPr>
      <w:r w:rsidRPr="00710EC9">
        <w:t>Sophisticated h</w:t>
      </w:r>
      <w:r w:rsidR="00D133EF" w:rsidRPr="00710EC9">
        <w:t>igher order thinking skills</w:t>
      </w:r>
    </w:p>
    <w:p w14:paraId="27160A1D" w14:textId="67FDA97D" w:rsidR="00D133EF" w:rsidRPr="00710EC9" w:rsidRDefault="00D133EF" w:rsidP="002049CF">
      <w:pPr>
        <w:pStyle w:val="ListParagraph"/>
        <w:numPr>
          <w:ilvl w:val="0"/>
          <w:numId w:val="12"/>
        </w:numPr>
      </w:pPr>
      <w:r w:rsidRPr="00710EC9">
        <w:t>Complexity and depth</w:t>
      </w:r>
    </w:p>
    <w:p w14:paraId="7578D14C" w14:textId="53A22183" w:rsidR="001F049F" w:rsidRPr="00710EC9" w:rsidRDefault="002049CF" w:rsidP="002049CF">
      <w:pPr>
        <w:pStyle w:val="ListParagraph"/>
        <w:numPr>
          <w:ilvl w:val="0"/>
          <w:numId w:val="12"/>
        </w:numPr>
      </w:pPr>
      <w:r w:rsidRPr="00710EC9">
        <w:t>Support within the classroom</w:t>
      </w:r>
      <w:r w:rsidR="00A44B71" w:rsidRPr="00710EC9">
        <w:t>,</w:t>
      </w:r>
      <w:r w:rsidRPr="00710EC9">
        <w:t xml:space="preserve"> where appropriate</w:t>
      </w:r>
    </w:p>
    <w:p w14:paraId="37023577" w14:textId="77777777" w:rsidR="00B30F3F" w:rsidRPr="00710EC9" w:rsidRDefault="001F049F" w:rsidP="002049CF">
      <w:pPr>
        <w:pStyle w:val="ListParagraph"/>
        <w:numPr>
          <w:ilvl w:val="0"/>
          <w:numId w:val="12"/>
        </w:numPr>
      </w:pPr>
      <w:r w:rsidRPr="00710EC9">
        <w:t>External expert support, where appropriate</w:t>
      </w:r>
    </w:p>
    <w:p w14:paraId="6AC9DC96" w14:textId="00F315D0" w:rsidR="002049CF" w:rsidRPr="00710EC9" w:rsidRDefault="002049CF" w:rsidP="00FA48F7">
      <w:pPr>
        <w:ind w:left="1080"/>
        <w:rPr>
          <w:i/>
        </w:rPr>
      </w:pPr>
    </w:p>
    <w:p w14:paraId="1A78F378" w14:textId="42471FDD" w:rsidR="00710EC9" w:rsidRPr="004C5F03" w:rsidRDefault="00710EC9" w:rsidP="00772F58">
      <w:pPr>
        <w:rPr>
          <w:b/>
          <w:color w:val="000000"/>
          <w:sz w:val="18"/>
          <w:szCs w:val="18"/>
        </w:rPr>
      </w:pPr>
      <w:r w:rsidRPr="0088259A">
        <w:rPr>
          <w:b/>
          <w:color w:val="000000"/>
          <w:sz w:val="18"/>
          <w:szCs w:val="18"/>
        </w:rPr>
        <w:t>Bibliography</w:t>
      </w:r>
    </w:p>
    <w:p w14:paraId="7B5580BF" w14:textId="1E75D7E6" w:rsidR="00772F58" w:rsidRPr="004C5F03" w:rsidRDefault="0088259A" w:rsidP="00772F58">
      <w:pPr>
        <w:rPr>
          <w:rFonts w:cs="Arial"/>
          <w:sz w:val="18"/>
          <w:szCs w:val="18"/>
        </w:rPr>
      </w:pPr>
      <w:r w:rsidRPr="004C5F03">
        <w:rPr>
          <w:rFonts w:cs="Arial"/>
          <w:color w:val="000000"/>
          <w:sz w:val="18"/>
          <w:szCs w:val="18"/>
        </w:rPr>
        <w:t>Australian Curriculum v8.3</w:t>
      </w:r>
      <w:r w:rsidR="00772F58" w:rsidRPr="004C5F03">
        <w:rPr>
          <w:rFonts w:cs="Arial"/>
          <w:color w:val="000000"/>
          <w:sz w:val="18"/>
          <w:szCs w:val="18"/>
        </w:rPr>
        <w:t xml:space="preserve">, </w:t>
      </w:r>
      <w:r w:rsidR="00772F58" w:rsidRPr="004C5F03">
        <w:rPr>
          <w:rFonts w:cs="Arial"/>
          <w:i/>
          <w:color w:val="000000"/>
          <w:sz w:val="18"/>
          <w:szCs w:val="18"/>
        </w:rPr>
        <w:t>Student Diversity, Gifted and Talented Students</w:t>
      </w:r>
      <w:r w:rsidR="00772F58" w:rsidRPr="004C5F03">
        <w:rPr>
          <w:rFonts w:cs="Arial"/>
          <w:color w:val="000000"/>
          <w:sz w:val="18"/>
          <w:szCs w:val="18"/>
        </w:rPr>
        <w:t>,</w:t>
      </w:r>
      <w:r w:rsidR="00772F58" w:rsidRPr="004C5F03">
        <w:rPr>
          <w:rFonts w:cs="Arial"/>
          <w:sz w:val="18"/>
          <w:szCs w:val="18"/>
        </w:rPr>
        <w:t xml:space="preserve"> </w:t>
      </w:r>
      <w:r w:rsidR="004C5F03" w:rsidRPr="004C5F03">
        <w:rPr>
          <w:rFonts w:cs="Arial"/>
          <w:sz w:val="18"/>
          <w:szCs w:val="18"/>
        </w:rPr>
        <w:br/>
      </w:r>
      <w:hyperlink r:id="rId7" w:history="1">
        <w:r w:rsidR="004C5F03" w:rsidRPr="004C5F03">
          <w:rPr>
            <w:rStyle w:val="Hyperlink"/>
            <w:rFonts w:cs="Arial"/>
            <w:sz w:val="18"/>
            <w:szCs w:val="18"/>
          </w:rPr>
          <w:t>https://www.australiancurriculum.edu.au/resources/student-diversity/meeting-the-needs-of-gifted-and-talented-students/</w:t>
        </w:r>
      </w:hyperlink>
    </w:p>
    <w:p w14:paraId="71C881E0" w14:textId="77777777" w:rsidR="004C5F03" w:rsidRPr="004C5F03" w:rsidRDefault="004C5F03" w:rsidP="004C5F03">
      <w:pPr>
        <w:rPr>
          <w:rStyle w:val="Hyperlink"/>
          <w:rFonts w:cs="Arial"/>
          <w:sz w:val="18"/>
          <w:szCs w:val="18"/>
        </w:rPr>
      </w:pPr>
      <w:r w:rsidRPr="004C5F03">
        <w:rPr>
          <w:rFonts w:cs="Arial"/>
          <w:sz w:val="18"/>
          <w:szCs w:val="18"/>
        </w:rPr>
        <w:t xml:space="preserve">GERRIC (2004-5). </w:t>
      </w:r>
      <w:r w:rsidRPr="004005F4">
        <w:rPr>
          <w:rFonts w:cs="Arial"/>
          <w:i/>
          <w:sz w:val="18"/>
          <w:szCs w:val="18"/>
        </w:rPr>
        <w:t>Professional development package for teachers</w:t>
      </w:r>
      <w:r w:rsidRPr="004C5F03">
        <w:rPr>
          <w:rFonts w:cs="Arial"/>
          <w:sz w:val="18"/>
          <w:szCs w:val="18"/>
        </w:rPr>
        <w:t xml:space="preserve">. Retrieved from </w:t>
      </w:r>
      <w:hyperlink r:id="rId8" w:history="1">
        <w:r w:rsidRPr="004C5F03">
          <w:rPr>
            <w:rStyle w:val="Hyperlink"/>
            <w:rFonts w:cs="Arial"/>
            <w:sz w:val="18"/>
            <w:szCs w:val="18"/>
          </w:rPr>
          <w:t>https://www.arts.unsw.edu.au/education/professional-learning/gerric/professional-development-package</w:t>
        </w:r>
      </w:hyperlink>
    </w:p>
    <w:p w14:paraId="03793C68" w14:textId="48CAEA33" w:rsidR="00DC07A1" w:rsidRPr="004C5F03" w:rsidRDefault="00DC07A1" w:rsidP="00772F58">
      <w:pPr>
        <w:rPr>
          <w:rFonts w:cs="Arial"/>
          <w:sz w:val="18"/>
          <w:szCs w:val="18"/>
        </w:rPr>
      </w:pPr>
      <w:r w:rsidRPr="004C5F03">
        <w:rPr>
          <w:rFonts w:cs="Arial"/>
          <w:sz w:val="18"/>
          <w:szCs w:val="18"/>
        </w:rPr>
        <w:t xml:space="preserve">Gross, M., et al., 2005, </w:t>
      </w:r>
      <w:r w:rsidRPr="004C5F03">
        <w:rPr>
          <w:rFonts w:cs="Arial"/>
          <w:i/>
          <w:sz w:val="18"/>
          <w:szCs w:val="18"/>
        </w:rPr>
        <w:t>Gifted Students in Primary Schools: Differentiating the Curriculum</w:t>
      </w:r>
      <w:r w:rsidRPr="004C5F03">
        <w:rPr>
          <w:rFonts w:cs="Arial"/>
          <w:sz w:val="18"/>
          <w:szCs w:val="18"/>
        </w:rPr>
        <w:t>,</w:t>
      </w:r>
      <w:r w:rsidR="007D2F70" w:rsidRPr="004C5F03">
        <w:rPr>
          <w:rFonts w:cs="Arial"/>
          <w:sz w:val="18"/>
          <w:szCs w:val="18"/>
        </w:rPr>
        <w:t xml:space="preserve"> </w:t>
      </w:r>
      <w:r w:rsidRPr="004C5F03">
        <w:rPr>
          <w:rFonts w:cs="Arial"/>
          <w:sz w:val="18"/>
          <w:szCs w:val="18"/>
        </w:rPr>
        <w:t>Sydney, GERRIC Publications</w:t>
      </w:r>
    </w:p>
    <w:p w14:paraId="0BC16E43" w14:textId="7049CB4C" w:rsidR="003B6E40" w:rsidRDefault="003B6E40" w:rsidP="003B6E40">
      <w:pPr>
        <w:rPr>
          <w:rFonts w:cs="Arial"/>
          <w:sz w:val="18"/>
          <w:szCs w:val="18"/>
        </w:rPr>
      </w:pPr>
      <w:r w:rsidRPr="004C5F03">
        <w:rPr>
          <w:rFonts w:cs="Arial"/>
          <w:sz w:val="18"/>
          <w:szCs w:val="18"/>
        </w:rPr>
        <w:t xml:space="preserve">Gross, M., et al., 2005, </w:t>
      </w:r>
      <w:r w:rsidRPr="004C5F03">
        <w:rPr>
          <w:rFonts w:cs="Arial"/>
          <w:i/>
          <w:sz w:val="18"/>
          <w:szCs w:val="18"/>
        </w:rPr>
        <w:t>Gifted Students in Secondary Schools: Differentiating the Curriculum</w:t>
      </w:r>
      <w:r w:rsidRPr="004C5F03">
        <w:rPr>
          <w:rFonts w:cs="Arial"/>
          <w:sz w:val="18"/>
          <w:szCs w:val="18"/>
        </w:rPr>
        <w:t>, Sydney, GERRIC Publications</w:t>
      </w:r>
    </w:p>
    <w:p w14:paraId="21833A98" w14:textId="1AD0BF57" w:rsidR="009414E3" w:rsidRDefault="009414E3" w:rsidP="005D3474">
      <w:pPr>
        <w:rPr>
          <w:rStyle w:val="Hyperlink"/>
          <w:rFonts w:cs="Arial"/>
          <w:i/>
          <w:color w:val="000000" w:themeColor="text1"/>
          <w:sz w:val="18"/>
          <w:szCs w:val="18"/>
          <w:u w:val="none"/>
        </w:rPr>
      </w:pPr>
      <w:r>
        <w:rPr>
          <w:rFonts w:cs="Arial"/>
          <w:sz w:val="18"/>
          <w:szCs w:val="18"/>
        </w:rPr>
        <w:t>Hall, M., et al. (</w:t>
      </w:r>
      <w:r w:rsidRPr="009414E3">
        <w:rPr>
          <w:rFonts w:cs="Arial"/>
          <w:sz w:val="18"/>
          <w:szCs w:val="18"/>
        </w:rPr>
        <w:t>2009</w:t>
      </w:r>
      <w:r>
        <w:rPr>
          <w:rFonts w:cs="Arial"/>
          <w:sz w:val="18"/>
          <w:szCs w:val="18"/>
        </w:rPr>
        <w:t xml:space="preserve">). </w:t>
      </w:r>
      <w:r w:rsidRPr="009414E3">
        <w:rPr>
          <w:rStyle w:val="Hyperlink"/>
          <w:rFonts w:cs="Arial"/>
          <w:i/>
          <w:color w:val="000000" w:themeColor="text1"/>
          <w:sz w:val="18"/>
          <w:szCs w:val="18"/>
          <w:u w:val="none"/>
        </w:rPr>
        <w:t>Response to intervention and gifted and talented education. {PDF}. Mont</w:t>
      </w:r>
      <w:r w:rsidR="004005F4">
        <w:rPr>
          <w:rStyle w:val="Hyperlink"/>
          <w:rFonts w:cs="Arial"/>
          <w:i/>
          <w:color w:val="000000" w:themeColor="text1"/>
          <w:sz w:val="18"/>
          <w:szCs w:val="18"/>
          <w:u w:val="none"/>
        </w:rPr>
        <w:t>ana</w:t>
      </w:r>
    </w:p>
    <w:p w14:paraId="55494000" w14:textId="77777777" w:rsidR="004005F4" w:rsidRPr="004005F4" w:rsidRDefault="002155CE" w:rsidP="004005F4">
      <w:pPr>
        <w:rPr>
          <w:rStyle w:val="Hyperlink"/>
          <w:rFonts w:cs="Arial"/>
          <w:color w:val="000000" w:themeColor="text1"/>
          <w:sz w:val="18"/>
          <w:szCs w:val="18"/>
          <w:u w:val="none"/>
        </w:rPr>
      </w:pPr>
      <w:hyperlink r:id="rId9" w:history="1">
        <w:r w:rsidR="004005F4" w:rsidRPr="004005F4">
          <w:rPr>
            <w:rStyle w:val="Hyperlink"/>
            <w:rFonts w:cs="Arial"/>
            <w:color w:val="000000" w:themeColor="text1"/>
            <w:sz w:val="18"/>
            <w:szCs w:val="18"/>
            <w:u w:val="none"/>
          </w:rPr>
          <w:t xml:space="preserve">Henderson, L., and Farrall, J., 2015, </w:t>
        </w:r>
        <w:r w:rsidR="004005F4" w:rsidRPr="004005F4">
          <w:rPr>
            <w:rStyle w:val="Hyperlink"/>
            <w:rFonts w:cs="Arial"/>
            <w:i/>
            <w:color w:val="000000" w:themeColor="text1"/>
            <w:sz w:val="18"/>
            <w:szCs w:val="18"/>
            <w:u w:val="none"/>
          </w:rPr>
          <w:t>Supporting your gifted and talented child’s achievement and well-being: A resource for parents.</w:t>
        </w:r>
      </w:hyperlink>
      <w:r w:rsidR="004005F4" w:rsidRPr="004005F4">
        <w:rPr>
          <w:rStyle w:val="Hyperlink"/>
          <w:rFonts w:cs="Arial"/>
          <w:color w:val="000000" w:themeColor="text1"/>
          <w:sz w:val="18"/>
          <w:szCs w:val="18"/>
          <w:u w:val="none"/>
        </w:rPr>
        <w:t xml:space="preserve"> Adelaide: AISSA</w:t>
      </w:r>
    </w:p>
    <w:p w14:paraId="0D0746FA" w14:textId="74BC6BA4" w:rsidR="00C650E9" w:rsidRPr="004C5F03" w:rsidRDefault="00C650E9" w:rsidP="008E6C50">
      <w:pPr>
        <w:rPr>
          <w:rFonts w:cs="Arial"/>
          <w:sz w:val="18"/>
          <w:szCs w:val="18"/>
        </w:rPr>
      </w:pPr>
      <w:r w:rsidRPr="004C5F03">
        <w:rPr>
          <w:rFonts w:cs="Arial"/>
          <w:sz w:val="18"/>
          <w:szCs w:val="18"/>
        </w:rPr>
        <w:t xml:space="preserve">Sousa, D., 2006, </w:t>
      </w:r>
      <w:r w:rsidRPr="004C5F03">
        <w:rPr>
          <w:rFonts w:cs="Arial"/>
          <w:i/>
          <w:sz w:val="18"/>
          <w:szCs w:val="18"/>
        </w:rPr>
        <w:t xml:space="preserve">How the </w:t>
      </w:r>
      <w:r w:rsidR="00FA48F7" w:rsidRPr="004C5F03">
        <w:rPr>
          <w:rFonts w:cs="Arial"/>
          <w:i/>
          <w:sz w:val="18"/>
          <w:szCs w:val="18"/>
        </w:rPr>
        <w:t>Gifted</w:t>
      </w:r>
      <w:r w:rsidRPr="004C5F03">
        <w:rPr>
          <w:rFonts w:cs="Arial"/>
          <w:i/>
          <w:sz w:val="18"/>
          <w:szCs w:val="18"/>
        </w:rPr>
        <w:t xml:space="preserve"> Brain Learns</w:t>
      </w:r>
      <w:r w:rsidRPr="004C5F03">
        <w:rPr>
          <w:rFonts w:cs="Arial"/>
          <w:sz w:val="18"/>
          <w:szCs w:val="18"/>
        </w:rPr>
        <w:t>, Victoria, Hawker Brownlow Education</w:t>
      </w:r>
    </w:p>
    <w:p w14:paraId="68BDFED5" w14:textId="0C90C48D" w:rsidR="00B62054" w:rsidRPr="004C5F03" w:rsidRDefault="00DC07A1" w:rsidP="00B62054">
      <w:pPr>
        <w:rPr>
          <w:sz w:val="18"/>
          <w:szCs w:val="18"/>
        </w:rPr>
      </w:pPr>
      <w:r w:rsidRPr="00710EC9">
        <w:rPr>
          <w:sz w:val="18"/>
          <w:szCs w:val="18"/>
        </w:rPr>
        <w:lastRenderedPageBreak/>
        <w:t xml:space="preserve">Whitton, D., 2002, </w:t>
      </w:r>
      <w:r w:rsidRPr="00710EC9">
        <w:rPr>
          <w:i/>
          <w:sz w:val="18"/>
          <w:szCs w:val="18"/>
        </w:rPr>
        <w:t>Educational Strategies for Gifted Children</w:t>
      </w:r>
      <w:r w:rsidRPr="00710EC9">
        <w:rPr>
          <w:sz w:val="18"/>
          <w:szCs w:val="18"/>
        </w:rPr>
        <w:t>, Victoria, Hawker Brownlow Education</w:t>
      </w:r>
    </w:p>
    <w:sectPr w:rsidR="00B62054" w:rsidRPr="004C5F03" w:rsidSect="00710EC9">
      <w:headerReference w:type="default" r:id="rId10"/>
      <w:footerReference w:type="default" r:id="rId11"/>
      <w:pgSz w:w="11906" w:h="16838"/>
      <w:pgMar w:top="1134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370FF" w14:textId="77777777" w:rsidR="002155CE" w:rsidRDefault="002155CE" w:rsidP="00A77F19">
      <w:pPr>
        <w:spacing w:after="0" w:line="240" w:lineRule="auto"/>
      </w:pPr>
      <w:r>
        <w:separator/>
      </w:r>
    </w:p>
  </w:endnote>
  <w:endnote w:type="continuationSeparator" w:id="0">
    <w:p w14:paraId="644915FF" w14:textId="77777777" w:rsidR="002155CE" w:rsidRDefault="002155CE" w:rsidP="00A7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5C23C" w14:textId="77777777" w:rsidR="00CD4256" w:rsidRPr="00303F89" w:rsidRDefault="00CD4256" w:rsidP="00CD4256">
    <w:pPr>
      <w:pStyle w:val="Footer"/>
      <w:jc w:val="center"/>
      <w:rPr>
        <w:rFonts w:ascii="Century Gothic" w:hAnsi="Century Gothic"/>
        <w:b/>
        <w:color w:val="265750"/>
        <w:sz w:val="18"/>
        <w:szCs w:val="18"/>
      </w:rPr>
    </w:pPr>
    <w:r w:rsidRPr="00303F89">
      <w:rPr>
        <w:rFonts w:ascii="Century Gothic" w:hAnsi="Century Gothic"/>
        <w:b/>
        <w:color w:val="265750"/>
        <w:sz w:val="18"/>
        <w:szCs w:val="18"/>
      </w:rPr>
      <w:t>Learner and Teacher Agency</w:t>
    </w:r>
  </w:p>
  <w:p w14:paraId="476941AD" w14:textId="5CE1F610" w:rsidR="00CD4256" w:rsidRPr="00303F89" w:rsidRDefault="00CD4256" w:rsidP="00CD4256">
    <w:pPr>
      <w:pStyle w:val="Footer"/>
      <w:jc w:val="center"/>
      <w:rPr>
        <w:rFonts w:ascii="Century Gothic" w:hAnsi="Century Gothic"/>
        <w:color w:val="265750"/>
        <w:sz w:val="18"/>
        <w:szCs w:val="18"/>
      </w:rPr>
    </w:pPr>
    <w:r w:rsidRPr="00303F89">
      <w:rPr>
        <w:rFonts w:ascii="Century Gothic" w:hAnsi="Century Gothic"/>
        <w:color w:val="265750"/>
        <w:sz w:val="18"/>
        <w:szCs w:val="18"/>
      </w:rPr>
      <w:t>E:</w:t>
    </w:r>
    <w:r>
      <w:rPr>
        <w:rFonts w:ascii="Century Gothic" w:hAnsi="Century Gothic"/>
        <w:color w:val="265750"/>
        <w:sz w:val="18"/>
        <w:szCs w:val="18"/>
      </w:rPr>
      <w:t xml:space="preserve"> </w:t>
    </w:r>
    <w:r w:rsidRPr="00EB49FC">
      <w:rPr>
        <w:rFonts w:ascii="Century Gothic" w:hAnsi="Century Gothic"/>
        <w:color w:val="265750"/>
        <w:sz w:val="18"/>
        <w:szCs w:val="18"/>
      </w:rPr>
      <w:t>jfarral</w:t>
    </w:r>
    <w:r>
      <w:rPr>
        <w:rFonts w:ascii="Century Gothic" w:hAnsi="Century Gothic"/>
        <w:color w:val="265750"/>
        <w:sz w:val="18"/>
        <w:szCs w:val="18"/>
      </w:rPr>
      <w:t>l</w:t>
    </w:r>
    <w:r w:rsidRPr="00EB49FC">
      <w:rPr>
        <w:rFonts w:ascii="Century Gothic" w:hAnsi="Century Gothic"/>
        <w:color w:val="265750"/>
        <w:sz w:val="18"/>
        <w:szCs w:val="18"/>
      </w:rPr>
      <w:t>@internode.on.net</w:t>
    </w:r>
    <w:r>
      <w:rPr>
        <w:rFonts w:ascii="Century Gothic" w:hAnsi="Century Gothic"/>
        <w:color w:val="265750"/>
        <w:sz w:val="18"/>
        <w:szCs w:val="18"/>
      </w:rPr>
      <w:t xml:space="preserve"> </w:t>
    </w:r>
    <w:r w:rsidRPr="00303F89">
      <w:rPr>
        <w:rFonts w:ascii="Century Gothic" w:hAnsi="Century Gothic"/>
        <w:color w:val="265750"/>
        <w:sz w:val="18"/>
        <w:szCs w:val="18"/>
      </w:rPr>
      <w:t>|</w:t>
    </w:r>
    <w:r>
      <w:rPr>
        <w:rFonts w:ascii="Century Gothic" w:hAnsi="Century Gothic"/>
        <w:color w:val="265750"/>
        <w:sz w:val="18"/>
        <w:szCs w:val="18"/>
      </w:rPr>
      <w:t>E: jefarrall@outlook.com.au|</w:t>
    </w:r>
    <w:r w:rsidRPr="00303F89">
      <w:rPr>
        <w:rFonts w:ascii="Century Gothic" w:hAnsi="Century Gothic"/>
        <w:color w:val="265750"/>
        <w:sz w:val="18"/>
        <w:szCs w:val="18"/>
      </w:rPr>
      <w:t xml:space="preserve"> W: www.</w:t>
    </w:r>
    <w:r>
      <w:rPr>
        <w:rFonts w:ascii="Century Gothic" w:hAnsi="Century Gothic"/>
        <w:color w:val="265750"/>
        <w:sz w:val="18"/>
        <w:szCs w:val="18"/>
      </w:rPr>
      <w:t>janetfarrall.com.au</w:t>
    </w:r>
  </w:p>
  <w:p w14:paraId="690EA579" w14:textId="77777777" w:rsidR="00CD4256" w:rsidRPr="00CD4256" w:rsidRDefault="00CD4256" w:rsidP="00CD4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64DCE" w14:textId="77777777" w:rsidR="002155CE" w:rsidRDefault="002155CE" w:rsidP="00A77F19">
      <w:pPr>
        <w:spacing w:after="0" w:line="240" w:lineRule="auto"/>
      </w:pPr>
      <w:r>
        <w:separator/>
      </w:r>
    </w:p>
  </w:footnote>
  <w:footnote w:type="continuationSeparator" w:id="0">
    <w:p w14:paraId="0D82A6F1" w14:textId="77777777" w:rsidR="002155CE" w:rsidRDefault="002155CE" w:rsidP="00A77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F358E" w14:textId="48BD784C" w:rsidR="00CD4256" w:rsidRDefault="00CD4256" w:rsidP="00CD4256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7BCE804" wp14:editId="3AB26F31">
          <wp:simplePos x="0" y="0"/>
          <wp:positionH relativeFrom="column">
            <wp:posOffset>2102973</wp:posOffset>
          </wp:positionH>
          <wp:positionV relativeFrom="paragraph">
            <wp:posOffset>-422030</wp:posOffset>
          </wp:positionV>
          <wp:extent cx="1111348" cy="671291"/>
          <wp:effectExtent l="0" t="0" r="0" b="1905"/>
          <wp:wrapTight wrapText="bothSides">
            <wp:wrapPolygon edited="0">
              <wp:start x="0" y="0"/>
              <wp:lineTo x="0" y="21253"/>
              <wp:lineTo x="21230" y="21253"/>
              <wp:lineTo x="21230" y="0"/>
              <wp:lineTo x="0" y="0"/>
            </wp:wrapPolygon>
          </wp:wrapTight>
          <wp:docPr id="8" name="Picture 8" descr="A close up of a map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00dpiLogo MixedColours JanetCho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348" cy="671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05771"/>
    <w:multiLevelType w:val="hybridMultilevel"/>
    <w:tmpl w:val="8C2E50C4"/>
    <w:lvl w:ilvl="0" w:tplc="4E906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57F3B"/>
    <w:multiLevelType w:val="hybridMultilevel"/>
    <w:tmpl w:val="68B460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37851"/>
    <w:multiLevelType w:val="hybridMultilevel"/>
    <w:tmpl w:val="034CF2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849F8"/>
    <w:multiLevelType w:val="hybridMultilevel"/>
    <w:tmpl w:val="EF6A78B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EBA29EE"/>
    <w:multiLevelType w:val="hybridMultilevel"/>
    <w:tmpl w:val="90BAC52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F16586"/>
    <w:multiLevelType w:val="hybridMultilevel"/>
    <w:tmpl w:val="35DC9B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564A4"/>
    <w:multiLevelType w:val="hybridMultilevel"/>
    <w:tmpl w:val="4D1820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77107"/>
    <w:multiLevelType w:val="hybridMultilevel"/>
    <w:tmpl w:val="BDDC13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60666"/>
    <w:multiLevelType w:val="hybridMultilevel"/>
    <w:tmpl w:val="2C6C9C3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C987AA3"/>
    <w:multiLevelType w:val="hybridMultilevel"/>
    <w:tmpl w:val="27D2F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92F77"/>
    <w:multiLevelType w:val="hybridMultilevel"/>
    <w:tmpl w:val="291C8A5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49F7D81"/>
    <w:multiLevelType w:val="hybridMultilevel"/>
    <w:tmpl w:val="3C029F5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B2F4131"/>
    <w:multiLevelType w:val="hybridMultilevel"/>
    <w:tmpl w:val="8F66C63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6612674"/>
    <w:multiLevelType w:val="hybridMultilevel"/>
    <w:tmpl w:val="C62C44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EA550F3"/>
    <w:multiLevelType w:val="hybridMultilevel"/>
    <w:tmpl w:val="780A83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2"/>
  </w:num>
  <w:num w:numId="5">
    <w:abstractNumId w:val="14"/>
  </w:num>
  <w:num w:numId="6">
    <w:abstractNumId w:val="7"/>
  </w:num>
  <w:num w:numId="7">
    <w:abstractNumId w:val="6"/>
  </w:num>
  <w:num w:numId="8">
    <w:abstractNumId w:val="1"/>
  </w:num>
  <w:num w:numId="9">
    <w:abstractNumId w:val="10"/>
  </w:num>
  <w:num w:numId="10">
    <w:abstractNumId w:val="5"/>
  </w:num>
  <w:num w:numId="11">
    <w:abstractNumId w:val="11"/>
  </w:num>
  <w:num w:numId="12">
    <w:abstractNumId w:val="3"/>
  </w:num>
  <w:num w:numId="13">
    <w:abstractNumId w:val="0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08"/>
    <w:rsid w:val="00043BD4"/>
    <w:rsid w:val="000755F8"/>
    <w:rsid w:val="000A631E"/>
    <w:rsid w:val="000F2D86"/>
    <w:rsid w:val="001007B4"/>
    <w:rsid w:val="00130978"/>
    <w:rsid w:val="00172D04"/>
    <w:rsid w:val="00175E4D"/>
    <w:rsid w:val="001C1BE5"/>
    <w:rsid w:val="001F049F"/>
    <w:rsid w:val="00203800"/>
    <w:rsid w:val="002049CF"/>
    <w:rsid w:val="00213AB7"/>
    <w:rsid w:val="002155CE"/>
    <w:rsid w:val="00255F5C"/>
    <w:rsid w:val="00263FC5"/>
    <w:rsid w:val="00287E54"/>
    <w:rsid w:val="002C5C55"/>
    <w:rsid w:val="002E11A1"/>
    <w:rsid w:val="002F79B4"/>
    <w:rsid w:val="00331BF7"/>
    <w:rsid w:val="00372F06"/>
    <w:rsid w:val="003959E4"/>
    <w:rsid w:val="003B6E40"/>
    <w:rsid w:val="003E3EDA"/>
    <w:rsid w:val="003F120B"/>
    <w:rsid w:val="003F4C6A"/>
    <w:rsid w:val="004005F4"/>
    <w:rsid w:val="00466947"/>
    <w:rsid w:val="004766DF"/>
    <w:rsid w:val="004A54B2"/>
    <w:rsid w:val="004B5DEB"/>
    <w:rsid w:val="004C5F03"/>
    <w:rsid w:val="0056723F"/>
    <w:rsid w:val="005970CA"/>
    <w:rsid w:val="005B7B51"/>
    <w:rsid w:val="005D3474"/>
    <w:rsid w:val="005F58AC"/>
    <w:rsid w:val="00605084"/>
    <w:rsid w:val="0066630A"/>
    <w:rsid w:val="006E7587"/>
    <w:rsid w:val="00710EC9"/>
    <w:rsid w:val="00726F7F"/>
    <w:rsid w:val="00772F58"/>
    <w:rsid w:val="00775A0E"/>
    <w:rsid w:val="0079340C"/>
    <w:rsid w:val="00796B43"/>
    <w:rsid w:val="007D2F70"/>
    <w:rsid w:val="0088259A"/>
    <w:rsid w:val="008E6C50"/>
    <w:rsid w:val="00927F3C"/>
    <w:rsid w:val="009414E3"/>
    <w:rsid w:val="009656A9"/>
    <w:rsid w:val="009E7108"/>
    <w:rsid w:val="00A44B71"/>
    <w:rsid w:val="00A46DA0"/>
    <w:rsid w:val="00A474A3"/>
    <w:rsid w:val="00A54C3D"/>
    <w:rsid w:val="00A77F19"/>
    <w:rsid w:val="00AC668C"/>
    <w:rsid w:val="00AF2643"/>
    <w:rsid w:val="00B05376"/>
    <w:rsid w:val="00B06DD7"/>
    <w:rsid w:val="00B30F3F"/>
    <w:rsid w:val="00B366A8"/>
    <w:rsid w:val="00B62054"/>
    <w:rsid w:val="00B6726F"/>
    <w:rsid w:val="00B8698B"/>
    <w:rsid w:val="00BB4F43"/>
    <w:rsid w:val="00C05450"/>
    <w:rsid w:val="00C14A30"/>
    <w:rsid w:val="00C346AD"/>
    <w:rsid w:val="00C62F96"/>
    <w:rsid w:val="00C6491E"/>
    <w:rsid w:val="00C650E9"/>
    <w:rsid w:val="00C82ECA"/>
    <w:rsid w:val="00C95B2F"/>
    <w:rsid w:val="00CA077A"/>
    <w:rsid w:val="00CC68D3"/>
    <w:rsid w:val="00CD4256"/>
    <w:rsid w:val="00D01A8B"/>
    <w:rsid w:val="00D133EF"/>
    <w:rsid w:val="00D56E44"/>
    <w:rsid w:val="00D61AB6"/>
    <w:rsid w:val="00D668AC"/>
    <w:rsid w:val="00DB2D9A"/>
    <w:rsid w:val="00DC07A1"/>
    <w:rsid w:val="00DD244A"/>
    <w:rsid w:val="00DF5802"/>
    <w:rsid w:val="00E74824"/>
    <w:rsid w:val="00E8166A"/>
    <w:rsid w:val="00EA14F3"/>
    <w:rsid w:val="00EB0E6A"/>
    <w:rsid w:val="00EB4FE2"/>
    <w:rsid w:val="00EC4497"/>
    <w:rsid w:val="00ED32E6"/>
    <w:rsid w:val="00F03746"/>
    <w:rsid w:val="00F52129"/>
    <w:rsid w:val="00F55847"/>
    <w:rsid w:val="00F664F1"/>
    <w:rsid w:val="00F739B8"/>
    <w:rsid w:val="00F86D5A"/>
    <w:rsid w:val="00FA48F7"/>
    <w:rsid w:val="00FD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8286EC"/>
  <w15:docId w15:val="{046F3396-81A9-6A4B-B578-8B666BCF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1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68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9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7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F19"/>
  </w:style>
  <w:style w:type="paragraph" w:styleId="Footer">
    <w:name w:val="footer"/>
    <w:basedOn w:val="Normal"/>
    <w:link w:val="FooterChar"/>
    <w:uiPriority w:val="99"/>
    <w:unhideWhenUsed/>
    <w:rsid w:val="00A77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F19"/>
  </w:style>
  <w:style w:type="character" w:styleId="FollowedHyperlink">
    <w:name w:val="FollowedHyperlink"/>
    <w:basedOn w:val="DefaultParagraphFont"/>
    <w:uiPriority w:val="99"/>
    <w:semiHidden/>
    <w:unhideWhenUsed/>
    <w:rsid w:val="00772F5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380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80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80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80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800"/>
    <w:rPr>
      <w:b/>
      <w:bCs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D61A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s.unsw.edu.au/education/professional-learning/gerric/professional-development-packa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ustraliancurriculum.edu.au/resources/student-diversity/meeting-the-needs-of-gifted-and-talented-student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issa.org.au/wp-content/uploads/Pages/ChallenGE/W1/Supporting-your-gifted-and-talented-childs-acheivement-and-well-being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Wilderness School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Janet Farrall</cp:lastModifiedBy>
  <cp:revision>2</cp:revision>
  <cp:lastPrinted>2014-03-04T07:03:00Z</cp:lastPrinted>
  <dcterms:created xsi:type="dcterms:W3CDTF">2021-03-10T05:27:00Z</dcterms:created>
  <dcterms:modified xsi:type="dcterms:W3CDTF">2021-03-10T05:27:00Z</dcterms:modified>
</cp:coreProperties>
</file>